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项目名称：G206会昌县珠高寨至九州段公路改建工程及沿线配套设施建设项目预制梁场钢结构桁架厂房制安工程</w:t>
      </w:r>
    </w:p>
    <w:p w14:paraId="0A2E9373">
      <w:pPr>
        <w:pStyle w:val="8"/>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304" w:right="1587" w:bottom="1304" w:left="1701"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default"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kern w:val="32"/>
          <w:sz w:val="28"/>
          <w:szCs w:val="28"/>
          <w:lang w:val="en-US" w:eastAsia="zh-CN"/>
        </w:rPr>
        <w:t>资质证书、安全生产许可证</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38837752"/>
      <w:bookmarkStart w:id="1" w:name="_Toc114046039"/>
      <w:bookmarkStart w:id="2" w:name="_Toc106888376"/>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474135236"/>
      <w:bookmarkStart w:id="5" w:name="_Toc469749018"/>
      <w:bookmarkStart w:id="6" w:name="_Toc528251789"/>
      <w:bookmarkStart w:id="7" w:name="_Toc138837744"/>
      <w:bookmarkStart w:id="8" w:name="_Toc423337575"/>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587"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项目名称：G206会昌县珠高寨至九州段公路改建工程及沿线配套设施建设项目预制梁场钢结构桁架厂房制安工程</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477"/>
        <w:gridCol w:w="1284"/>
        <w:gridCol w:w="2401"/>
        <w:gridCol w:w="1233"/>
        <w:gridCol w:w="955"/>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2761" w:type="dxa"/>
            <w:gridSpan w:val="2"/>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规格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680FC82">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暂定数量</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CF44B96">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单位</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控制单价</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响应单价（元）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（元）</w:t>
            </w:r>
          </w:p>
        </w:tc>
        <w:tc>
          <w:tcPr>
            <w:tcW w:w="1601" w:type="dxa"/>
            <w:tcBorders>
              <w:top w:val="single" w:color="000000" w:sz="4" w:space="0"/>
              <w:left w:val="single" w:color="000000" w:sz="4" w:space="0"/>
              <w:bottom w:val="single" w:color="auto"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5A461A50">
        <w:tblPrEx>
          <w:tblCellMar>
            <w:top w:w="0" w:type="dxa"/>
            <w:left w:w="108" w:type="dxa"/>
            <w:bottom w:w="0" w:type="dxa"/>
            <w:right w:w="108" w:type="dxa"/>
          </w:tblCellMar>
        </w:tblPrEx>
        <w:trPr>
          <w:trHeight w:val="1240"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616A34F">
            <w:pPr>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1</w:t>
            </w:r>
          </w:p>
        </w:tc>
        <w:tc>
          <w:tcPr>
            <w:tcW w:w="1477" w:type="dxa"/>
            <w:vMerge w:val="restart"/>
            <w:tcBorders>
              <w:top w:val="single" w:color="000000" w:sz="4" w:space="0"/>
              <w:left w:val="single" w:color="000000" w:sz="4" w:space="0"/>
              <w:right w:val="single" w:color="000000" w:sz="4" w:space="0"/>
            </w:tcBorders>
            <w:noWrap w:val="0"/>
            <w:vAlign w:val="center"/>
          </w:tcPr>
          <w:p w14:paraId="188A3400">
            <w:pPr>
              <w:jc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预制梁场钢结构桁架厂房制安工程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6EBE3BC">
            <w:pPr>
              <w:jc w:val="center"/>
              <w:rPr>
                <w:rFonts w:hint="eastAsia"/>
                <w:vertAlign w:val="baseline"/>
                <w:lang w:val="en-US" w:eastAsia="zh-CN"/>
              </w:rPr>
            </w:pPr>
            <w:r>
              <w:rPr>
                <w:rFonts w:hint="eastAsia"/>
                <w:vertAlign w:val="baseline"/>
                <w:lang w:val="en-US" w:eastAsia="zh-CN"/>
              </w:rPr>
              <w:t>屋面部分</w:t>
            </w:r>
          </w:p>
        </w:tc>
        <w:tc>
          <w:tcPr>
            <w:tcW w:w="2401" w:type="dxa"/>
            <w:vMerge w:val="restart"/>
            <w:tcBorders>
              <w:top w:val="single" w:color="000000" w:sz="4" w:space="0"/>
              <w:left w:val="single" w:color="000000" w:sz="4" w:space="0"/>
              <w:right w:val="single" w:color="000000" w:sz="4" w:space="0"/>
            </w:tcBorders>
            <w:noWrap w:val="0"/>
            <w:vAlign w:val="center"/>
          </w:tcPr>
          <w:p w14:paraId="06408EC2">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详细看附件材料规格参数及图纸</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03AE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96E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E44C01A">
            <w:pPr>
              <w:widowControl/>
              <w:jc w:val="center"/>
              <w:textAlignment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115</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D8D684E">
            <w:pPr>
              <w:widowControl/>
              <w:jc w:val="center"/>
              <w:textAlignment w:val="center"/>
              <w:rPr>
                <w:rFonts w:hint="eastAsia" w:ascii="宋体" w:hAnsi="宋体" w:eastAsia="宋体" w:cs="宋体"/>
                <w:b w:val="0"/>
                <w:bCs w:val="0"/>
                <w:color w:val="000000"/>
                <w:sz w:val="20"/>
                <w:szCs w:val="20"/>
                <w:lang w:val="en-US" w:eastAsia="zh-CN"/>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4B607AF1">
            <w:pPr>
              <w:widowControl/>
              <w:jc w:val="center"/>
              <w:textAlignment w:val="center"/>
              <w:rPr>
                <w:rFonts w:hint="eastAsia" w:ascii="宋体" w:hAnsi="宋体" w:eastAsia="宋体" w:cs="宋体"/>
                <w:b w:val="0"/>
                <w:bCs w:val="0"/>
                <w:color w:val="000000"/>
                <w:sz w:val="20"/>
                <w:szCs w:val="20"/>
                <w:lang w:val="en-US" w:eastAsia="zh-CN"/>
              </w:rPr>
            </w:pPr>
          </w:p>
        </w:tc>
        <w:tc>
          <w:tcPr>
            <w:tcW w:w="1601" w:type="dxa"/>
            <w:tcBorders>
              <w:top w:val="single" w:color="auto" w:sz="4" w:space="0"/>
              <w:left w:val="single" w:color="auto" w:sz="4" w:space="0"/>
              <w:right w:val="single" w:color="auto" w:sz="4" w:space="0"/>
            </w:tcBorders>
            <w:shd w:val="clear" w:color="auto" w:fill="auto"/>
            <w:noWrap w:val="0"/>
            <w:vAlign w:val="center"/>
          </w:tcPr>
          <w:p w14:paraId="5BCE2F50">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含立柱、横梁、基础预埋件，屋面按投影面积计算</w:t>
            </w:r>
          </w:p>
        </w:tc>
      </w:tr>
      <w:tr w14:paraId="5E7642CD">
        <w:tblPrEx>
          <w:tblCellMar>
            <w:top w:w="0" w:type="dxa"/>
            <w:left w:w="108" w:type="dxa"/>
            <w:bottom w:w="0" w:type="dxa"/>
            <w:right w:w="108" w:type="dxa"/>
          </w:tblCellMar>
        </w:tblPrEx>
        <w:trPr>
          <w:trHeight w:val="1023"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7E9063">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477" w:type="dxa"/>
            <w:vMerge w:val="continue"/>
            <w:tcBorders>
              <w:left w:val="single" w:color="000000" w:sz="4" w:space="0"/>
              <w:bottom w:val="single" w:color="000000" w:sz="4" w:space="0"/>
              <w:right w:val="single" w:color="000000" w:sz="4" w:space="0"/>
            </w:tcBorders>
            <w:noWrap w:val="0"/>
            <w:vAlign w:val="center"/>
          </w:tcPr>
          <w:p w14:paraId="63AF0FA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DDD4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w:t>
            </w:r>
            <w:r>
              <w:rPr>
                <w:rFonts w:hint="eastAsia"/>
                <w:vertAlign w:val="baseline"/>
                <w:lang w:val="en-US" w:eastAsia="zh-CN"/>
              </w:rPr>
              <w:t>部分</w:t>
            </w:r>
          </w:p>
        </w:tc>
        <w:tc>
          <w:tcPr>
            <w:tcW w:w="2401" w:type="dxa"/>
            <w:vMerge w:val="continue"/>
            <w:tcBorders>
              <w:left w:val="single" w:color="000000" w:sz="4" w:space="0"/>
              <w:bottom w:val="single" w:color="000000" w:sz="4" w:space="0"/>
              <w:right w:val="single" w:color="000000" w:sz="4" w:space="0"/>
            </w:tcBorders>
            <w:noWrap w:val="0"/>
            <w:vAlign w:val="center"/>
          </w:tcPr>
          <w:p w14:paraId="50CF6B1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16A6210">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1940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491E25">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A555AA3">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vertAlign w:val="baseline"/>
                <w:lang w:val="en-US" w:eastAsia="zh-CN"/>
              </w:rPr>
              <w:t>50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0FE3A81">
            <w:pPr>
              <w:jc w:val="center"/>
              <w:rPr>
                <w:rFonts w:hint="eastAsia" w:ascii="宋体" w:hAnsi="宋体" w:eastAsia="宋体" w:cs="宋体"/>
                <w:color w:val="000000"/>
                <w:kern w:val="0"/>
                <w:sz w:val="20"/>
                <w:szCs w:val="20"/>
                <w:lang w:bidi="ar"/>
              </w:rPr>
            </w:pPr>
          </w:p>
        </w:tc>
        <w:tc>
          <w:tcPr>
            <w:tcW w:w="1269" w:type="dxa"/>
            <w:tcBorders>
              <w:top w:val="single" w:color="000000" w:sz="4" w:space="0"/>
              <w:left w:val="single" w:color="000000" w:sz="4" w:space="0"/>
              <w:bottom w:val="single" w:color="000000" w:sz="4" w:space="0"/>
              <w:right w:val="single" w:color="auto" w:sz="4" w:space="0"/>
            </w:tcBorders>
            <w:noWrap w:val="0"/>
            <w:vAlign w:val="center"/>
          </w:tcPr>
          <w:p w14:paraId="782C305C">
            <w:pPr>
              <w:jc w:val="center"/>
              <w:rPr>
                <w:rFonts w:hint="eastAsia" w:ascii="宋体" w:hAnsi="宋体" w:eastAsia="宋体" w:cs="宋体"/>
                <w:color w:val="000000"/>
                <w:kern w:val="0"/>
                <w:sz w:val="20"/>
                <w:szCs w:val="20"/>
                <w:lang w:bidi="ar"/>
              </w:rPr>
            </w:pPr>
          </w:p>
        </w:tc>
        <w:tc>
          <w:tcPr>
            <w:tcW w:w="16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39837">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按实际面积计算</w:t>
            </w:r>
          </w:p>
        </w:tc>
      </w:tr>
      <w:tr w14:paraId="2F18214F">
        <w:tblPrEx>
          <w:tblCellMar>
            <w:top w:w="0" w:type="dxa"/>
            <w:left w:w="108" w:type="dxa"/>
            <w:bottom w:w="0" w:type="dxa"/>
            <w:right w:w="108" w:type="dxa"/>
          </w:tblCellMar>
        </w:tblPrEx>
        <w:trPr>
          <w:trHeight w:val="46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9%（不足部分从工</w:t>
            </w:r>
            <w:r>
              <w:rPr>
                <w:rFonts w:hint="eastAsia" w:ascii="宋体" w:hAnsi="宋体" w:eastAsia="宋体" w:cs="宋体"/>
                <w:color w:val="000000"/>
                <w:sz w:val="24"/>
                <w:szCs w:val="24"/>
                <w:lang w:val="en-US" w:eastAsia="zh-CN"/>
              </w:rPr>
              <w:t>程款中扣足，如提供3%增值税专用发票，需扣除6%税差后，再扣除2%）</w:t>
            </w:r>
          </w:p>
        </w:tc>
      </w:tr>
      <w:tr w14:paraId="052983DF">
        <w:tblPrEx>
          <w:tblCellMar>
            <w:top w:w="0" w:type="dxa"/>
            <w:left w:w="108" w:type="dxa"/>
            <w:bottom w:w="0" w:type="dxa"/>
            <w:right w:w="108" w:type="dxa"/>
          </w:tblCellMar>
        </w:tblPrEx>
        <w:trPr>
          <w:trHeight w:val="57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其他说明事项：1）报价须包含但不限于制作安装费、运输费、卸车费、材料费、机械费、人工费、税费等包工包料所有费用，我公司不再另行支付其他费用。</w:t>
            </w:r>
          </w:p>
        </w:tc>
      </w:tr>
    </w:tbl>
    <w:p w14:paraId="71281BA3">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p w14:paraId="2ABE8415">
      <w:pPr>
        <w:sectPr>
          <w:pgSz w:w="16838" w:h="11906" w:orient="landscape"/>
          <w:pgMar w:top="1587" w:right="1440" w:bottom="1417" w:left="1440" w:header="851" w:footer="992" w:gutter="0"/>
          <w:cols w:space="425" w:num="1"/>
          <w:docGrid w:type="lines" w:linePitch="312" w:charSpace="0"/>
        </w:sectPr>
      </w:pPr>
    </w:p>
    <w:tbl>
      <w:tblPr>
        <w:tblStyle w:val="9"/>
        <w:tblW w:w="824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940"/>
        <w:gridCol w:w="2392"/>
        <w:gridCol w:w="1023"/>
        <w:gridCol w:w="888"/>
        <w:gridCol w:w="1151"/>
      </w:tblGrid>
      <w:tr w14:paraId="21EB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0DB9D0">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工程量清单</w:t>
            </w:r>
          </w:p>
        </w:tc>
      </w:tr>
      <w:tr w14:paraId="5573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F5D2D">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工程名称：</w:t>
            </w:r>
            <w:r>
              <w:rPr>
                <w:rFonts w:hint="eastAsia" w:ascii="宋体" w:hAnsi="宋体" w:eastAsia="宋体" w:cs="宋体"/>
                <w:b/>
                <w:bCs/>
                <w:i w:val="0"/>
                <w:iCs w:val="0"/>
                <w:color w:val="000000"/>
                <w:kern w:val="0"/>
                <w:sz w:val="24"/>
                <w:szCs w:val="24"/>
                <w:u w:val="none"/>
                <w:lang w:val="en-US" w:eastAsia="zh-CN" w:bidi="ar"/>
              </w:rPr>
              <w:t>预制梁场钢结构桁架厂房制安工程</w:t>
            </w:r>
            <w:bookmarkStart w:id="9" w:name="_GoBack"/>
            <w:bookmarkEnd w:id="9"/>
          </w:p>
        </w:tc>
      </w:tr>
      <w:tr w14:paraId="7BB6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F7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top"/>
          </w:tcPr>
          <w:p w14:paraId="1AA58DF2">
            <w:pPr>
              <w:jc w:val="left"/>
              <w:rPr>
                <w:rFonts w:hint="eastAsia" w:ascii="Arial" w:hAnsi="Arial" w:cs="Arial"/>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4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规    格</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0A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C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B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7"/>
                <w:lang w:val="en-US" w:eastAsia="zh-CN" w:bidi="ar"/>
              </w:rPr>
              <w:t>备注</w:t>
            </w:r>
          </w:p>
        </w:tc>
      </w:tr>
      <w:tr w14:paraId="4BB9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723">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(一)</w:t>
            </w:r>
          </w:p>
        </w:tc>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E5D6B">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钢构系统</w:t>
            </w:r>
          </w:p>
        </w:tc>
      </w:tr>
      <w:tr w14:paraId="3696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D5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F103EC">
            <w:pPr>
              <w:pStyle w:val="20"/>
              <w:spacing w:before="73" w:line="218" w:lineRule="auto"/>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空腹钢柱</w:t>
            </w:r>
            <w:r>
              <w:rPr>
                <w:rFonts w:hint="eastAsia" w:cs="宋体"/>
                <w:i w:val="0"/>
                <w:iCs w:val="0"/>
                <w:color w:val="000000"/>
                <w:sz w:val="22"/>
                <w:szCs w:val="22"/>
                <w:u w:val="none"/>
                <w:lang w:eastAsia="zh-CN"/>
              </w:rPr>
              <w:t>（镀锌钢管柱φ219*2.5）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615C723D">
            <w:pPr>
              <w:spacing w:before="99" w:line="189" w:lineRule="auto"/>
              <w:ind w:left="263"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eastAsia="宋体" w:cs="Times New Roman"/>
                <w:spacing w:val="-2"/>
                <w:sz w:val="22"/>
                <w:szCs w:val="22"/>
                <w:lang w:val="en-US" w:eastAsia="zh-CN"/>
              </w:rPr>
              <w:t>4.858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9A7D6E2">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A27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4008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4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3CB7C0">
            <w:pPr>
              <w:pStyle w:val="20"/>
              <w:spacing w:before="73" w:line="218" w:lineRule="auto"/>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弦杆</w:t>
            </w:r>
            <w:r>
              <w:rPr>
                <w:rFonts w:hint="eastAsia" w:cs="宋体"/>
                <w:i w:val="0"/>
                <w:iCs w:val="0"/>
                <w:color w:val="000000"/>
                <w:sz w:val="22"/>
                <w:szCs w:val="22"/>
                <w:u w:val="none"/>
                <w:lang w:eastAsia="zh-CN"/>
              </w:rPr>
              <w:t>（镀锌管：上弦杆2φ80*2.5、下弦杆φ75*2.75、腹杆φ32*2 φ18钢筋）</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993008">
            <w:pPr>
              <w:spacing w:before="99" w:line="189" w:lineRule="auto"/>
              <w:ind w:left="266"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7.148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1603F8A6">
            <w:pPr>
              <w:pStyle w:val="20"/>
              <w:spacing w:before="73" w:line="218" w:lineRule="auto"/>
              <w:ind w:left="342" w:leftChars="0"/>
              <w:rPr>
                <w:rFonts w:ascii="宋体" w:hAnsi="宋体" w:eastAsia="宋体" w:cs="宋体"/>
                <w:i w:val="0"/>
                <w:iCs w:val="0"/>
                <w:color w:val="000000"/>
                <w:sz w:val="22"/>
                <w:szCs w:val="22"/>
                <w:u w:val="none"/>
              </w:rPr>
            </w:pPr>
            <w: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1C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21"/>
                <w:rFonts w:eastAsia="宋体"/>
                <w:lang w:val="en-US" w:eastAsia="zh-CN" w:bidi="ar"/>
              </w:rPr>
              <w:t>Q235B</w:t>
            </w:r>
          </w:p>
        </w:tc>
      </w:tr>
      <w:tr w14:paraId="4C7E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7C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E6C81E">
            <w:pPr>
              <w:pStyle w:val="20"/>
              <w:spacing w:before="73" w:line="218" w:lineRule="auto"/>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钢檩条</w:t>
            </w:r>
            <w:r>
              <w:rPr>
                <w:rFonts w:hint="eastAsia" w:cs="宋体"/>
                <w:i w:val="0"/>
                <w:iCs w:val="0"/>
                <w:color w:val="000000"/>
                <w:sz w:val="22"/>
                <w:szCs w:val="22"/>
                <w:u w:val="none"/>
                <w:lang w:eastAsia="zh-CN"/>
              </w:rPr>
              <w:t>（镀锌檩条80*40*1.3mm）</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7F5DC026">
            <w:pPr>
              <w:spacing w:before="99" w:line="189" w:lineRule="auto"/>
              <w:ind w:left="266" w:leftChars="0"/>
              <w:rPr>
                <w:rFonts w:hint="default" w:ascii="Times New Roman" w:hAnsi="Times New Roman" w:eastAsia="宋体" w:cs="Times New Roman"/>
                <w:spacing w:val="-2"/>
                <w:sz w:val="22"/>
                <w:szCs w:val="22"/>
                <w:lang w:val="en-US" w:eastAsia="zh-CN"/>
              </w:rPr>
            </w:pPr>
            <w:r>
              <w:rPr>
                <w:rFonts w:hint="eastAsia" w:ascii="Times New Roman" w:hAnsi="Times New Roman" w:eastAsia="宋体" w:cs="Times New Roman"/>
                <w:spacing w:val="-2"/>
                <w:sz w:val="22"/>
                <w:szCs w:val="22"/>
                <w:lang w:val="en-US" w:eastAsia="zh-CN"/>
              </w:rPr>
              <w:t>8.914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40F82256">
            <w:pPr>
              <w:pStyle w:val="20"/>
              <w:spacing w:before="73" w:line="218" w:lineRule="auto"/>
              <w:ind w:left="342" w:leftChars="0"/>
              <w:rPr>
                <w:rFonts w:hint="eastAsia" w:eastAsia="宋体"/>
                <w:lang w:val="en-US" w:eastAsia="zh-CN"/>
              </w:rPr>
            </w:pPr>
            <w:r>
              <w:rPr>
                <w:rFonts w:hint="eastAsia"/>
                <w:lang w:val="en-US" w:eastAsia="zh-CN"/>
              </w:rPr>
              <w:t>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3739">
            <w:pPr>
              <w:keepNext w:val="0"/>
              <w:keepLines w:val="0"/>
              <w:widowControl/>
              <w:suppressLineNumbers w:val="0"/>
              <w:jc w:val="center"/>
              <w:textAlignment w:val="center"/>
              <w:rPr>
                <w:rStyle w:val="21"/>
                <w:rFonts w:eastAsia="宋体"/>
                <w:lang w:val="en-US" w:eastAsia="zh-CN" w:bidi="ar"/>
              </w:rPr>
            </w:pPr>
          </w:p>
        </w:tc>
      </w:tr>
      <w:tr w14:paraId="7DDD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B45C">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18"/>
                <w:lang w:val="en-US" w:eastAsia="zh-CN" w:bidi="ar"/>
              </w:rPr>
              <w:t>(二)</w:t>
            </w:r>
          </w:p>
        </w:tc>
        <w:tc>
          <w:tcPr>
            <w:tcW w:w="73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82EFC">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Style w:val="19"/>
                <w:lang w:val="en-US" w:eastAsia="zh-CN" w:bidi="ar"/>
              </w:rPr>
              <w:t>板材围护系统</w:t>
            </w:r>
          </w:p>
        </w:tc>
      </w:tr>
      <w:tr w14:paraId="36CB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E6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AF95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型材屋面</w:t>
            </w:r>
            <w:r>
              <w:rPr>
                <w:rFonts w:hint="eastAsia" w:ascii="宋体" w:hAnsi="宋体" w:eastAsia="宋体" w:cs="宋体"/>
                <w:i w:val="0"/>
                <w:iCs w:val="0"/>
                <w:color w:val="000000"/>
                <w:sz w:val="22"/>
                <w:szCs w:val="22"/>
                <w:u w:val="none"/>
                <w:lang w:eastAsia="zh-CN"/>
              </w:rPr>
              <w:t>（0.326mm-V840型单层彩板屋面）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145976E8">
            <w:pPr>
              <w:spacing w:before="99" w:line="189" w:lineRule="auto"/>
              <w:ind w:left="259"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eastAsia="宋体" w:cs="Times New Roman"/>
                <w:spacing w:val="-1"/>
                <w:sz w:val="22"/>
                <w:szCs w:val="22"/>
                <w:lang w:val="en-US" w:eastAsia="zh-CN"/>
              </w:rPr>
              <w:t>1800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068CBD7C">
            <w:pPr>
              <w:spacing w:before="147" w:line="151" w:lineRule="exact"/>
              <w:ind w:left="349" w:leftChars="0"/>
              <w:rPr>
                <w:rFonts w:hint="eastAsia" w:ascii="Times New Roman" w:hAnsi="Times New Roman" w:cs="Times New Roman" w:eastAsiaTheme="minorEastAsia"/>
                <w:i w:val="0"/>
                <w:iCs w:val="0"/>
                <w:color w:val="000000"/>
                <w:sz w:val="14"/>
                <w:szCs w:val="14"/>
                <w:u w:val="none"/>
                <w:lang w:eastAsia="zh-CN"/>
              </w:rPr>
            </w:pPr>
            <w:r>
              <w:rPr>
                <w:rFonts w:hint="eastAsia" w:ascii="Times New Roman" w:hAnsi="Times New Roman" w:eastAsia="宋体" w:cs="Times New Roman"/>
                <w:position w:val="-1"/>
                <w:sz w:val="22"/>
                <w:szCs w:val="22"/>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237A5B71">
            <w:pPr>
              <w:jc w:val="left"/>
              <w:rPr>
                <w:rFonts w:hint="default" w:ascii="Arial" w:hAnsi="Arial" w:cs="Arial"/>
                <w:i w:val="0"/>
                <w:iCs w:val="0"/>
                <w:color w:val="000000"/>
                <w:sz w:val="22"/>
                <w:szCs w:val="22"/>
                <w:u w:val="none"/>
              </w:rPr>
            </w:pPr>
          </w:p>
        </w:tc>
      </w:tr>
      <w:tr w14:paraId="3D90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1E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 </w:t>
            </w:r>
          </w:p>
        </w:tc>
        <w:tc>
          <w:tcPr>
            <w:tcW w:w="4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0AC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型材墙面</w:t>
            </w:r>
            <w:r>
              <w:rPr>
                <w:rFonts w:hint="eastAsia" w:ascii="宋体" w:hAnsi="宋体" w:eastAsia="宋体" w:cs="宋体"/>
                <w:i w:val="0"/>
                <w:iCs w:val="0"/>
                <w:color w:val="000000"/>
                <w:sz w:val="22"/>
                <w:szCs w:val="22"/>
                <w:u w:val="none"/>
                <w:lang w:eastAsia="zh-CN"/>
              </w:rPr>
              <w:t>（0.326mm-V900型单层彩板墙面）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top"/>
          </w:tcPr>
          <w:p w14:paraId="356264EE">
            <w:pPr>
              <w:spacing w:before="99" w:line="189" w:lineRule="auto"/>
              <w:ind w:left="281" w:leftChars="0"/>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1940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top"/>
          </w:tcPr>
          <w:p w14:paraId="6CD27943">
            <w:pPr>
              <w:spacing w:before="147" w:line="151" w:lineRule="exact"/>
              <w:ind w:left="349" w:leftChars="0"/>
              <w:rPr>
                <w:rFonts w:hint="default" w:ascii="Times New Roman" w:hAnsi="Times New Roman" w:cs="Times New Roman"/>
                <w:i w:val="0"/>
                <w:iCs w:val="0"/>
                <w:color w:val="000000"/>
                <w:sz w:val="22"/>
                <w:szCs w:val="22"/>
                <w:u w:val="none"/>
              </w:rPr>
            </w:pPr>
            <w:r>
              <w:rPr>
                <w:rFonts w:hint="eastAsia" w:ascii="Times New Roman" w:hAnsi="Times New Roman" w:eastAsia="宋体" w:cs="Times New Roman"/>
                <w:position w:val="-1"/>
                <w:sz w:val="22"/>
                <w:szCs w:val="22"/>
                <w:lang w:val="en-US" w:eastAsia="zh-CN"/>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AD96600">
            <w:pPr>
              <w:jc w:val="left"/>
              <w:rPr>
                <w:rFonts w:hint="default" w:ascii="Arial" w:hAnsi="Arial" w:cs="Arial"/>
                <w:i w:val="0"/>
                <w:iCs w:val="0"/>
                <w:color w:val="000000"/>
                <w:sz w:val="22"/>
                <w:szCs w:val="22"/>
                <w:u w:val="none"/>
              </w:rPr>
            </w:pPr>
          </w:p>
        </w:tc>
      </w:tr>
    </w:tbl>
    <w:p w14:paraId="21A39483"/>
    <w:p w14:paraId="70D92A41">
      <w:pPr>
        <w:pStyle w:val="2"/>
        <w:bidi w:val="0"/>
        <w:jc w:val="center"/>
        <w:rPr>
          <w:rFonts w:hint="eastAsia"/>
          <w:lang w:val="en-US" w:eastAsia="zh-CN"/>
        </w:rPr>
      </w:pPr>
      <w:r>
        <w:rPr>
          <w:rFonts w:hint="eastAsia"/>
          <w:lang w:val="en-US" w:eastAsia="zh-CN"/>
        </w:rPr>
        <w:t>施工图</w:t>
      </w:r>
    </w:p>
    <w:p w14:paraId="03F5A045">
      <w:pPr>
        <w:rPr>
          <w:rFonts w:hint="default"/>
          <w:lang w:val="en-US" w:eastAsia="zh-CN"/>
        </w:rPr>
      </w:pPr>
      <w:r>
        <w:rPr>
          <w:rFonts w:hint="default"/>
          <w:lang w:val="en-US" w:eastAsia="zh-CN"/>
        </w:rPr>
        <w:drawing>
          <wp:inline distT="0" distB="0" distL="114300" distR="114300">
            <wp:extent cx="5642610" cy="3771265"/>
            <wp:effectExtent l="0" t="0" r="15240" b="635"/>
            <wp:docPr id="1" name="图片 1" descr="87e3d32a-5521-4b2f-a015-0ffbfec1ca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e3d32a-5521-4b2f-a015-0ffbfec1ca67"/>
                    <pic:cNvPicPr>
                      <a:picLocks noChangeAspect="1"/>
                    </pic:cNvPicPr>
                  </pic:nvPicPr>
                  <pic:blipFill>
                    <a:blip r:embed="rId4"/>
                    <a:stretch>
                      <a:fillRect/>
                    </a:stretch>
                  </pic:blipFill>
                  <pic:spPr>
                    <a:xfrm>
                      <a:off x="0" y="0"/>
                      <a:ext cx="5642610" cy="3771265"/>
                    </a:xfrm>
                    <a:prstGeom prst="rect">
                      <a:avLst/>
                    </a:prstGeom>
                  </pic:spPr>
                </pic:pic>
              </a:graphicData>
            </a:graphic>
          </wp:inline>
        </w:drawing>
      </w:r>
    </w:p>
    <w:p w14:paraId="678F20D7">
      <w:pPr>
        <w:rPr>
          <w:rFonts w:hint="default"/>
          <w:lang w:val="en-US" w:eastAsia="zh-CN"/>
        </w:rPr>
      </w:pPr>
    </w:p>
    <w:p w14:paraId="760CDE1C">
      <w:pPr>
        <w:rPr>
          <w:rFonts w:hint="default"/>
          <w:lang w:val="en-US" w:eastAsia="zh-CN"/>
        </w:rPr>
      </w:pPr>
    </w:p>
    <w:p w14:paraId="7D45D605">
      <w:pPr>
        <w:rPr>
          <w:rFonts w:hint="default"/>
          <w:lang w:val="en-US" w:eastAsia="zh-CN"/>
        </w:rPr>
      </w:pPr>
    </w:p>
    <w:p w14:paraId="34BFB8FE">
      <w:pPr>
        <w:rPr>
          <w:rFonts w:hint="default"/>
          <w:lang w:val="en-US" w:eastAsia="zh-CN"/>
        </w:rPr>
      </w:pPr>
    </w:p>
    <w:p w14:paraId="7940183F">
      <w:pPr>
        <w:jc w:val="center"/>
        <w:rPr>
          <w:rFonts w:hint="default"/>
          <w:lang w:val="en-US" w:eastAsia="zh-CN"/>
        </w:rPr>
      </w:pPr>
      <w:r>
        <w:rPr>
          <w:rFonts w:hint="default"/>
          <w:lang w:val="en-US" w:eastAsia="zh-CN"/>
        </w:rPr>
        <w:drawing>
          <wp:inline distT="0" distB="0" distL="114300" distR="114300">
            <wp:extent cx="7663180" cy="5843905"/>
            <wp:effectExtent l="0" t="0" r="4445" b="13970"/>
            <wp:docPr id="2" name="图片 2" descr="5edf8bf7-bfd3-4d59-97a3-5189d7fed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df8bf7-bfd3-4d59-97a3-5189d7fed6a7"/>
                    <pic:cNvPicPr>
                      <a:picLocks noChangeAspect="1"/>
                    </pic:cNvPicPr>
                  </pic:nvPicPr>
                  <pic:blipFill>
                    <a:blip r:embed="rId5"/>
                    <a:stretch>
                      <a:fillRect/>
                    </a:stretch>
                  </pic:blipFill>
                  <pic:spPr>
                    <a:xfrm rot="5400000">
                      <a:off x="0" y="0"/>
                      <a:ext cx="7663180" cy="5843905"/>
                    </a:xfrm>
                    <a:prstGeom prst="rect">
                      <a:avLst/>
                    </a:prstGeom>
                  </pic:spPr>
                </pic:pic>
              </a:graphicData>
            </a:graphic>
          </wp:inline>
        </w:drawing>
      </w:r>
    </w:p>
    <w:p w14:paraId="12C2FE56">
      <w:pPr>
        <w:jc w:val="center"/>
        <w:rPr>
          <w:rFonts w:hint="default"/>
          <w:lang w:val="en-US" w:eastAsia="zh-CN"/>
        </w:rPr>
      </w:pPr>
      <w:r>
        <w:rPr>
          <w:rFonts w:hint="default"/>
          <w:lang w:val="en-US" w:eastAsia="zh-CN"/>
        </w:rPr>
        <w:drawing>
          <wp:inline distT="0" distB="0" distL="114300" distR="114300">
            <wp:extent cx="5652135" cy="4514850"/>
            <wp:effectExtent l="0" t="0" r="5715" b="0"/>
            <wp:docPr id="3" name="图片 3" descr="86a7d5c2-5051-462e-bc95-f2d802c295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6a7d5c2-5051-462e-bc95-f2d802c295b9"/>
                    <pic:cNvPicPr>
                      <a:picLocks noChangeAspect="1"/>
                    </pic:cNvPicPr>
                  </pic:nvPicPr>
                  <pic:blipFill>
                    <a:blip r:embed="rId6"/>
                    <a:stretch>
                      <a:fillRect/>
                    </a:stretch>
                  </pic:blipFill>
                  <pic:spPr>
                    <a:xfrm>
                      <a:off x="0" y="0"/>
                      <a:ext cx="5652135" cy="4514850"/>
                    </a:xfrm>
                    <a:prstGeom prst="rect">
                      <a:avLst/>
                    </a:prstGeom>
                  </pic:spPr>
                </pic:pic>
              </a:graphicData>
            </a:graphic>
          </wp:inline>
        </w:drawing>
      </w:r>
    </w:p>
    <w:p w14:paraId="3A182AF5">
      <w:pPr>
        <w:jc w:val="center"/>
        <w:rPr>
          <w:rFonts w:hint="default"/>
          <w:lang w:val="en-US" w:eastAsia="zh-CN"/>
        </w:rPr>
      </w:pPr>
    </w:p>
    <w:p w14:paraId="6A6CB71B">
      <w:pPr>
        <w:jc w:val="center"/>
        <w:rPr>
          <w:rFonts w:hint="default"/>
          <w:lang w:val="en-US" w:eastAsia="zh-CN"/>
        </w:rPr>
      </w:pPr>
      <w:r>
        <w:rPr>
          <w:rFonts w:hint="default"/>
          <w:lang w:val="en-US" w:eastAsia="zh-CN"/>
        </w:rPr>
        <w:drawing>
          <wp:inline distT="0" distB="0" distL="114300" distR="114300">
            <wp:extent cx="5640070" cy="3827780"/>
            <wp:effectExtent l="0" t="0" r="17780" b="1270"/>
            <wp:docPr id="4" name="图片 4" descr="3d86af27-b1fc-4fcf-901d-e8b8abd5e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d86af27-b1fc-4fcf-901d-e8b8abd5e698"/>
                    <pic:cNvPicPr>
                      <a:picLocks noChangeAspect="1"/>
                    </pic:cNvPicPr>
                  </pic:nvPicPr>
                  <pic:blipFill>
                    <a:blip r:embed="rId7"/>
                    <a:stretch>
                      <a:fillRect/>
                    </a:stretch>
                  </pic:blipFill>
                  <pic:spPr>
                    <a:xfrm>
                      <a:off x="0" y="0"/>
                      <a:ext cx="5640070" cy="3827780"/>
                    </a:xfrm>
                    <a:prstGeom prst="rect">
                      <a:avLst/>
                    </a:prstGeom>
                  </pic:spPr>
                </pic:pic>
              </a:graphicData>
            </a:graphic>
          </wp:inline>
        </w:drawing>
      </w:r>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4F03D20"/>
    <w:rsid w:val="06202EDB"/>
    <w:rsid w:val="0D5A5D70"/>
    <w:rsid w:val="14112B1C"/>
    <w:rsid w:val="16961391"/>
    <w:rsid w:val="17156255"/>
    <w:rsid w:val="1E4A2D84"/>
    <w:rsid w:val="20E30F43"/>
    <w:rsid w:val="234172AF"/>
    <w:rsid w:val="28B24CE7"/>
    <w:rsid w:val="29805E09"/>
    <w:rsid w:val="2ADF5816"/>
    <w:rsid w:val="2D96292F"/>
    <w:rsid w:val="2EC90453"/>
    <w:rsid w:val="30EA6F5E"/>
    <w:rsid w:val="32152E5D"/>
    <w:rsid w:val="34304DFB"/>
    <w:rsid w:val="35280D61"/>
    <w:rsid w:val="3B2218D7"/>
    <w:rsid w:val="44AB770F"/>
    <w:rsid w:val="481676A3"/>
    <w:rsid w:val="488E42E3"/>
    <w:rsid w:val="494E3819"/>
    <w:rsid w:val="4C194668"/>
    <w:rsid w:val="4D9549C8"/>
    <w:rsid w:val="4F5E5229"/>
    <w:rsid w:val="514532B0"/>
    <w:rsid w:val="574A2160"/>
    <w:rsid w:val="57B97CD7"/>
    <w:rsid w:val="59306989"/>
    <w:rsid w:val="62B03119"/>
    <w:rsid w:val="668E1457"/>
    <w:rsid w:val="678F0CEE"/>
    <w:rsid w:val="69716E98"/>
    <w:rsid w:val="6A3251CD"/>
    <w:rsid w:val="6B633ECE"/>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font81"/>
    <w:basedOn w:val="11"/>
    <w:qFormat/>
    <w:uiPriority w:val="0"/>
    <w:rPr>
      <w:rFonts w:hint="eastAsia" w:ascii="宋体" w:hAnsi="宋体" w:eastAsia="宋体" w:cs="宋体"/>
      <w:color w:val="000000"/>
      <w:sz w:val="24"/>
      <w:szCs w:val="24"/>
      <w:u w:val="none"/>
    </w:rPr>
  </w:style>
  <w:style w:type="character" w:customStyle="1" w:styleId="17">
    <w:name w:val="font71"/>
    <w:basedOn w:val="11"/>
    <w:qFormat/>
    <w:uiPriority w:val="0"/>
    <w:rPr>
      <w:rFonts w:ascii="宋体" w:hAnsi="宋体" w:eastAsia="宋体" w:cs="宋体"/>
      <w:color w:val="000000"/>
      <w:sz w:val="22"/>
      <w:szCs w:val="22"/>
      <w:u w:val="none"/>
    </w:rPr>
  </w:style>
  <w:style w:type="character" w:customStyle="1" w:styleId="18">
    <w:name w:val="font112"/>
    <w:basedOn w:val="11"/>
    <w:qFormat/>
    <w:uiPriority w:val="0"/>
    <w:rPr>
      <w:rFonts w:ascii="黑体" w:hAnsi="宋体" w:eastAsia="黑体" w:cs="黑体"/>
      <w:color w:val="000000"/>
      <w:sz w:val="22"/>
      <w:szCs w:val="22"/>
      <w:u w:val="none"/>
    </w:rPr>
  </w:style>
  <w:style w:type="character" w:customStyle="1" w:styleId="19">
    <w:name w:val="font121"/>
    <w:basedOn w:val="11"/>
    <w:qFormat/>
    <w:uiPriority w:val="0"/>
    <w:rPr>
      <w:rFonts w:ascii="宋体" w:hAnsi="宋体" w:eastAsia="宋体" w:cs="宋体"/>
      <w:b/>
      <w:bCs/>
      <w:color w:val="000000"/>
      <w:sz w:val="22"/>
      <w:szCs w:val="22"/>
      <w:u w:val="none"/>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character" w:customStyle="1" w:styleId="21">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1412</Words>
  <Characters>1556</Characters>
  <Lines>0</Lines>
  <Paragraphs>0</Paragraphs>
  <TotalTime>0</TotalTime>
  <ScaleCrop>false</ScaleCrop>
  <LinksUpToDate>false</LinksUpToDate>
  <CharactersWithSpaces>1891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Alex</cp:lastModifiedBy>
  <cp:lastPrinted>2025-09-24T12:39:00Z</cp:lastPrinted>
  <dcterms:modified xsi:type="dcterms:W3CDTF">2025-09-25T11:13:30Z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eyJoZGlkIjoiMDI5YzdiYjJiNTE3YzcyMTFlNzc0M2ZmN2I5MmY0MmQiLCJ1c2VySWQiOiI1NTY0ODM3MjIifQ==</vt:lpwstr>
  </property>
</Properties>
</file>